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tbl>
      <w:tblPr>
        <w:tblW w:w="88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"/>
        <w:gridCol w:w="90"/>
        <w:gridCol w:w="160"/>
        <w:gridCol w:w="116"/>
        <w:gridCol w:w="134"/>
        <w:gridCol w:w="142"/>
        <w:gridCol w:w="107"/>
        <w:gridCol w:w="229"/>
        <w:gridCol w:w="18"/>
        <w:gridCol w:w="250"/>
        <w:gridCol w:w="6"/>
        <w:gridCol w:w="244"/>
        <w:gridCol w:w="34"/>
        <w:gridCol w:w="217"/>
        <w:gridCol w:w="56"/>
        <w:gridCol w:w="193"/>
        <w:gridCol w:w="83"/>
        <w:gridCol w:w="167"/>
        <w:gridCol w:w="108"/>
        <w:gridCol w:w="143"/>
        <w:gridCol w:w="100"/>
        <w:gridCol w:w="143"/>
        <w:gridCol w:w="263"/>
        <w:gridCol w:w="189"/>
        <w:gridCol w:w="56"/>
        <w:gridCol w:w="50"/>
        <w:gridCol w:w="138"/>
        <w:gridCol w:w="177"/>
        <w:gridCol w:w="10"/>
        <w:gridCol w:w="123"/>
        <w:gridCol w:w="141"/>
        <w:gridCol w:w="10"/>
        <w:gridCol w:w="158"/>
        <w:gridCol w:w="107"/>
        <w:gridCol w:w="11"/>
        <w:gridCol w:w="192"/>
        <w:gridCol w:w="41"/>
        <w:gridCol w:w="269"/>
        <w:gridCol w:w="163"/>
        <w:gridCol w:w="443"/>
        <w:gridCol w:w="7"/>
        <w:gridCol w:w="4"/>
        <w:gridCol w:w="225"/>
        <w:gridCol w:w="7"/>
        <w:gridCol w:w="43"/>
        <w:gridCol w:w="226"/>
        <w:gridCol w:w="40"/>
        <w:gridCol w:w="10"/>
        <w:gridCol w:w="225"/>
        <w:gridCol w:w="51"/>
        <w:gridCol w:w="24"/>
        <w:gridCol w:w="201"/>
        <w:gridCol w:w="49"/>
        <w:gridCol w:w="60"/>
        <w:gridCol w:w="165"/>
        <w:gridCol w:w="51"/>
        <w:gridCol w:w="94"/>
        <w:gridCol w:w="131"/>
        <w:gridCol w:w="51"/>
        <w:gridCol w:w="129"/>
        <w:gridCol w:w="96"/>
        <w:gridCol w:w="50"/>
        <w:gridCol w:w="164"/>
        <w:gridCol w:w="61"/>
        <w:gridCol w:w="52"/>
        <w:gridCol w:w="197"/>
        <w:gridCol w:w="28"/>
        <w:gridCol w:w="50"/>
        <w:gridCol w:w="225"/>
        <w:gridCol w:w="6"/>
        <w:gridCol w:w="45"/>
        <w:gridCol w:w="116"/>
        <w:gridCol w:w="109"/>
        <w:gridCol w:w="40"/>
        <w:gridCol w:w="68"/>
        <w:gridCol w:w="230"/>
      </w:tblGrid>
      <w:tr>
        <w:trPr>
          <w:trHeight w:val="280" w:hRule="atLeast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  <w:cantSplit w:val="true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026" w:type="dxa"/>
            <w:gridSpan w:val="8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19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Контролор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3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7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98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49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49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1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29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49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Вид.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007" w:type="dxa"/>
            <w:gridSpan w:val="14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916" w:type="dxa"/>
            <w:gridSpan w:val="47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  <w:tc>
          <w:tcPr>
            <w:tcW w:w="1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cs="Arial Narrow" w:ascii="Arial Narrow" w:hAnsi="Arial Narrow"/>
          <w:sz w:val="22"/>
          <w:szCs w:val="22"/>
          <w:lang w:val="mk-MK"/>
        </w:rPr>
        <w:t xml:space="preserve">_Јну  Институт  за Духовно културно Наследство на Албанците    </w:t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</w:t>
      </w: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Адреса, седиште и телефон  Ул Булевар Илинден бр99 тел. 070-290-468</w:t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cs="Arial Narrow" w:ascii="Arial Narrow" w:hAnsi="Arial Narrow"/>
          <w:sz w:val="22"/>
          <w:szCs w:val="22"/>
          <w:lang w:val="mk-MK"/>
        </w:rPr>
        <w:t>_4030007640340</w:t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>
      <w:pPr>
        <w:pStyle w:val="Heading11"/>
        <w:numPr>
          <w:ilvl w:val="0"/>
          <w:numId w:val="0"/>
        </w:numPr>
        <w:spacing w:lineRule="auto" w:line="240"/>
        <w:ind w:left="0" w:hanging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ПРИХОДИ И РАСХОДИ</w:t>
      </w:r>
    </w:p>
    <w:p>
      <w:pPr>
        <w:pStyle w:val="Normal"/>
        <w:spacing w:before="58" w:after="0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од 1 јануари до 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31.12..20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2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1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година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>
      <w:pPr>
        <w:sectPr>
          <w:type w:val="nextPage"/>
          <w:pgSz w:w="11906" w:h="16838"/>
          <w:pgMar w:left="2146" w:right="734" w:header="0" w:top="1440" w:footer="0" w:bottom="720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(во денари)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56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78"/>
        <w:gridCol w:w="10"/>
        <w:gridCol w:w="770"/>
        <w:gridCol w:w="3686"/>
        <w:gridCol w:w="785"/>
        <w:gridCol w:w="1767"/>
        <w:gridCol w:w="1659"/>
      </w:tblGrid>
      <w:tr>
        <w:trPr>
          <w:trHeight w:val="552" w:hRule="exact"/>
          <w:cantSplit w:val="true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986" w:hRule="exact"/>
          <w:cantSplit w:val="true"/>
        </w:trPr>
        <w:tc>
          <w:tcPr>
            <w:tcW w:w="4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>
        <w:trPr>
          <w:trHeight w:val="263" w:hRule="exact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1053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auto" w:line="36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31.617.210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34.447.012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</w:t>
            </w:r>
          </w:p>
        </w:tc>
      </w:tr>
      <w:tr>
        <w:trPr>
          <w:trHeight w:val="457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>
            <w:pPr>
              <w:pStyle w:val="Normal"/>
              <w:shd w:val="clear" w:color="auto" w:fill="FFFFFF"/>
              <w:spacing w:lineRule="exact" w:line="230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003 до 006)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25.149.968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30.135.560</w:t>
            </w:r>
          </w:p>
        </w:tc>
      </w:tr>
      <w:tr>
        <w:trPr>
          <w:trHeight w:val="394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18.117.306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21.697.556</w:t>
            </w:r>
          </w:p>
        </w:tc>
      </w:tr>
      <w:tr>
        <w:trPr>
          <w:trHeight w:val="365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402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BodyText2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>
            <w:pPr>
              <w:pStyle w:val="Normal"/>
              <w:shd w:val="clear" w:color="auto" w:fill="FFFFFF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7.032.662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8.438.004</w:t>
            </w:r>
          </w:p>
        </w:tc>
      </w:tr>
      <w:tr>
        <w:trPr>
          <w:trHeight w:val="336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8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5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0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7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013 до 019)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6.392.242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4.311.452</w:t>
            </w:r>
          </w:p>
        </w:tc>
      </w:tr>
      <w:tr>
        <w:trPr>
          <w:trHeight w:val="346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420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195.979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162.080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>
        <w:trPr>
          <w:trHeight w:val="493" w:hRule="exact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421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1.421.509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2.042.722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43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073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85"/>
        <w:gridCol w:w="736"/>
        <w:gridCol w:w="3868"/>
        <w:gridCol w:w="795"/>
        <w:gridCol w:w="1410"/>
        <w:gridCol w:w="1678"/>
      </w:tblGrid>
      <w:tr>
        <w:trPr>
          <w:trHeight w:val="701" w:hRule="exact"/>
          <w:cantSplit w:val="true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839" w:hRule="exact"/>
          <w:cantSplit w:val="true"/>
        </w:trPr>
        <w:tc>
          <w:tcPr>
            <w:tcW w:w="5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tabs>
                <w:tab w:val="clear" w:pos="720"/>
                <w:tab w:val="center" w:pos="665" w:leader="none"/>
              </w:tabs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315.609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259.605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48.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0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151.165</w:t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395"/>
            <w:bookmarkEnd w:id="2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3" w:name="SwXTextPosition14001"/>
            <w:bookmarkEnd w:id="3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3.864.179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1.133.641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446.966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317.549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6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4" w:name="SwXTextPosition1453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427</w:t>
            </w:r>
            <w:bookmarkEnd w:id="4"/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1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napToGrid w:val="false"/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г)  ТЕКОВНИ ТРАНСФЕРИ ДО    ВОНБУЏЕТСКИ ФОНДОВИ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5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6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62" w:right="20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34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7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за делегирани одделни</w:t>
            </w: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4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ѓ)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030 до 032)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2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2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5" w:name="SwXTextPosition7401"/>
            <w:bookmarkStart w:id="6" w:name="SwXTextPosition7402"/>
            <w:bookmarkStart w:id="7" w:name="SwXTextPosition7401"/>
            <w:bookmarkStart w:id="8" w:name="SwXTextPosition7402"/>
            <w:bookmarkEnd w:id="7"/>
            <w:bookmarkEnd w:id="8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75.000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bookmarkStart w:id="9" w:name="SwXTextPosition7464"/>
            <w:bookmarkStart w:id="10" w:name="SwXTextPosition7465"/>
            <w:bookmarkEnd w:id="9"/>
            <w:bookmarkEnd w:id="1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244.690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</w:t>
            </w:r>
          </w:p>
        </w:tc>
      </w:tr>
      <w:tr>
        <w:trPr>
          <w:trHeight w:val="35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75.000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244.690             </w:t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</w:t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ж)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11" w:name="SwXTextPosition7607"/>
            <w:bookmarkEnd w:id="1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3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7657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472</w:t>
            </w:r>
            <w:bookmarkEnd w:id="12"/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Плаќања на бенефиции од Фондот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1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70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>
          <w:trHeight w:val="27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67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045 до 054)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1.298.155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774.250</w:t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24"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1.289.155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596.280</w:t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4" w:right="49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177.970</w:t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7906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049</w:t>
            </w:r>
            <w:bookmarkEnd w:id="13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4" w:name="SwXTextPosition795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4"/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до 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5" w:name="SwXTextPosition7998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43.</w:t>
            </w:r>
            <w:bookmarkEnd w:id="15"/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6" w:name="SwXTextPosition8044"/>
            <w:bookmarkStart w:id="17" w:name="SwXTextPosition8044"/>
            <w:bookmarkEnd w:id="17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8" w:name="SwXTextPosition8106"/>
            <w:bookmarkStart w:id="19" w:name="SwXTextPosition8106"/>
            <w:bookmarkEnd w:id="19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3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(001 + 044 + 055)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32.915.365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lang w:val="mk-MK"/>
              </w:rPr>
            </w:pPr>
            <w:r>
              <w:rPr>
                <w:b/>
                <w:bCs/>
                <w:lang w:val="mk-MK"/>
              </w:rPr>
              <w:t>35.221.262</w:t>
            </w:r>
          </w:p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80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>(103 минус 059)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99520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>
        <w:trPr>
          <w:trHeight w:val="105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811,     812 и 813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8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2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171" w:leader="none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5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3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115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ако 061 е поголемо од 060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32.915.365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35.221.262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ind w:left="53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Р И X О Д И: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exact" w:line="226"/>
              <w:ind w:left="413" w:right="1493" w:hanging="36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ДАНОЧНИ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069 до 076)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1195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3715" w:leader="none"/>
                <w:tab w:val="left" w:pos="3998" w:leader="none"/>
              </w:tabs>
              <w:snapToGrid w:val="false"/>
              <w:spacing w:lineRule="exact" w:line="226"/>
              <w:ind w:left="53" w:right="285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6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078 до 082)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64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083 до 087)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8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1"/>
              <w:ind w:left="86" w:right="40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IV.  ТРАНСФЕРИ И ДОНАЦИИ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>
            <w:pPr>
              <w:pStyle w:val="Normal"/>
              <w:shd w:val="clear" w:color="auto" w:fill="FFFFFF"/>
              <w:spacing w:lineRule="exact" w:line="226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(од 089 до 092)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32.915.365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35.221.262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62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18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45"/>
        <w:gridCol w:w="665"/>
        <w:gridCol w:w="4017"/>
        <w:gridCol w:w="788"/>
        <w:gridCol w:w="1400"/>
        <w:gridCol w:w="1702"/>
      </w:tblGrid>
      <w:tr>
        <w:trPr>
          <w:trHeight w:val="851" w:hRule="exact"/>
          <w:cantSplit w:val="true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7" w:hRule="exact"/>
          <w:cantSplit w:val="true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32.915.365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35.221.262</w:t>
            </w:r>
          </w:p>
        </w:tc>
      </w:tr>
      <w:tr>
        <w:trPr>
          <w:trHeight w:val="38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2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094 до 096)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0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098 до 100)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2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7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74" w:hanging="426"/>
              <w:rPr>
                <w:rFonts w:ascii="Arial Narrow" w:hAnsi="Arial Narrow" w:cs="Arial Narrow"/>
                <w:b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>
            <w:pPr>
              <w:pStyle w:val="Normal"/>
              <w:shd w:val="clear" w:color="auto" w:fill="FFFFFF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2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(068+077+083+088+093+097+101+102)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32.915.365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35.221.262</w:t>
            </w:r>
          </w:p>
        </w:tc>
      </w:tr>
      <w:tr>
        <w:trPr>
          <w:trHeight w:val="76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(059+ 061 минус 103)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(103+104 = 067)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32.915.365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35.221.262</w:t>
            </w:r>
          </w:p>
        </w:tc>
      </w:tr>
      <w:tr>
        <w:trPr>
          <w:trHeight w:val="103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>
            <w:pPr>
              <w:pStyle w:val="Normal"/>
              <w:shd w:val="clear" w:color="auto" w:fill="FFFFFF"/>
              <w:spacing w:lineRule="exact" w:line="226"/>
              <w:ind w:left="67" w:right="31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Во_Скопје_</w:t>
      </w:r>
    </w:p>
    <w:p>
      <w:pPr>
        <w:pStyle w:val="Normal"/>
        <w:spacing w:before="211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На ден</w:t>
      </w:r>
      <w:r>
        <w:rPr>
          <w:rFonts w:cs="Arial Narrow" w:ascii="Arial Narrow" w:hAnsi="Arial Narrow"/>
          <w:color w:val="000000"/>
          <w:sz w:val="22"/>
          <w:szCs w:val="22"/>
        </w:rPr>
        <w:t xml:space="preserve">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26.02.2021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Лице одговорно за составување на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билансот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Хаџхере Османи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Хаџер</w:t>
      </w:r>
    </w:p>
    <w:p>
      <w:pPr>
        <w:pStyle w:val="Normal"/>
        <w:spacing w:before="221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before="221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М.П.   </w:t>
      </w:r>
    </w:p>
    <w:p>
      <w:pPr>
        <w:pStyle w:val="Normal"/>
        <w:spacing w:before="10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Раководител</w:t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Скендер Асани </w:t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____________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4" w:equalWidth="false" w:sep="false">
            <w:col w:w="1355" w:space="2032"/>
            <w:col w:w="2053" w:space="706"/>
            <w:col w:w="851" w:space="676"/>
            <w:col w:w="1351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62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                                                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2" w:equalWidth="false" w:sep="false">
            <w:col w:w="2625" w:space="2032"/>
            <w:col w:w="4368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lineRule="exact" w:line="418" w:before="29" w:after="0"/>
        <w:ind w:right="3629" w:hanging="0"/>
        <w:jc w:val="both"/>
        <w:rPr>
          <w:rFonts w:ascii="Arial Narrow" w:hAnsi="Arial Narrow" w:cs="Arial Narrow"/>
          <w:sz w:val="22"/>
          <w:szCs w:val="22"/>
        </w:rPr>
      </w:pPr>
      <w:r>
        <w:rPr/>
      </w:r>
    </w:p>
    <w:sectPr>
      <w:type w:val="continuous"/>
      <w:pgSz w:w="11906" w:h="16838"/>
      <w:pgMar w:left="2146" w:right="734" w:header="0" w:top="1440" w:footer="0" w:bottom="720" w:gutter="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MAC C Swiss">
    <w:charset w:val="cc"/>
    <w:family w:val="roman"/>
    <w:pitch w:val="variable"/>
  </w:font>
  <w:font w:name="Arial Narro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8"/>
      <w:numFmt w:val="decimal"/>
      <w:lvlText w:val="%1."/>
      <w:lvlJc w:val="left"/>
      <w:pPr>
        <w:tabs>
          <w:tab w:val="num" w:pos="413"/>
        </w:tabs>
        <w:ind w:left="413" w:hanging="360"/>
      </w:pPr>
    </w:lvl>
    <w:lvl w:ilvl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90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en-US" w:eastAsia="mk-M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490d2f"/>
    <w:rPr/>
  </w:style>
  <w:style w:type="character" w:styleId="WWAbsatzStandardschriftart" w:customStyle="1">
    <w:name w:val="WW-Absatz-Standardschriftart"/>
    <w:uiPriority w:val="99"/>
    <w:qFormat/>
    <w:rsid w:val="00490d2f"/>
    <w:rPr/>
  </w:style>
  <w:style w:type="character" w:styleId="WWAbsatzStandardschriftart1" w:customStyle="1">
    <w:name w:val="WW-Absatz-Standardschriftart1"/>
    <w:uiPriority w:val="99"/>
    <w:qFormat/>
    <w:rsid w:val="00490d2f"/>
    <w:rPr/>
  </w:style>
  <w:style w:type="character" w:styleId="WW8Num1z0" w:customStyle="1">
    <w:name w:val="WW8Num1z0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WW8Num1z1" w:customStyle="1">
    <w:name w:val="WW8Num1z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WWAbsatzStandardschriftart11" w:customStyle="1">
    <w:name w:val="WW-Absatz-Standardschriftart11"/>
    <w:uiPriority w:val="99"/>
    <w:qFormat/>
    <w:rsid w:val="00490d2f"/>
    <w:rPr/>
  </w:style>
  <w:style w:type="character" w:styleId="RTFNum21" w:customStyle="1">
    <w:name w:val="RTF_Num 2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22" w:customStyle="1">
    <w:name w:val="RTF_Num 2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3" w:customStyle="1">
    <w:name w:val="RTF_Num 2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4" w:customStyle="1">
    <w:name w:val="RTF_Num 2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5" w:customStyle="1">
    <w:name w:val="RTF_Num 2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6" w:customStyle="1">
    <w:name w:val="RTF_Num 2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7" w:customStyle="1">
    <w:name w:val="RTF_Num 2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8" w:customStyle="1">
    <w:name w:val="RTF_Num 2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9" w:customStyle="1">
    <w:name w:val="RTF_Num 2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1" w:customStyle="1">
    <w:name w:val="RTF_Num 3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32" w:customStyle="1">
    <w:name w:val="RTF_Num 3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3" w:customStyle="1">
    <w:name w:val="RTF_Num 3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4" w:customStyle="1">
    <w:name w:val="RTF_Num 3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5" w:customStyle="1">
    <w:name w:val="RTF_Num 3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6" w:customStyle="1">
    <w:name w:val="RTF_Num 3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7" w:customStyle="1">
    <w:name w:val="RTF_Num 3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8" w:customStyle="1">
    <w:name w:val="RTF_Num 3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9" w:customStyle="1">
    <w:name w:val="RTF_Num 3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1" w:customStyle="1">
    <w:name w:val="RTF_Num 4 1"/>
    <w:uiPriority w:val="99"/>
    <w:qFormat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styleId="RTFNum42" w:customStyle="1">
    <w:name w:val="RTF_Num 4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3" w:customStyle="1">
    <w:name w:val="RTF_Num 4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4" w:customStyle="1">
    <w:name w:val="RTF_Num 4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5" w:customStyle="1">
    <w:name w:val="RTF_Num 4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6" w:customStyle="1">
    <w:name w:val="RTF_Num 4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7" w:customStyle="1">
    <w:name w:val="RTF_Num 4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8" w:customStyle="1">
    <w:name w:val="RTF_Num 4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9" w:customStyle="1">
    <w:name w:val="RTF_Num 4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1" w:customStyle="1">
    <w:name w:val="RTF_Num 5 1"/>
    <w:uiPriority w:val="99"/>
    <w:qFormat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styleId="RTFNum52" w:customStyle="1">
    <w:name w:val="RTF_Num 5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3" w:customStyle="1">
    <w:name w:val="RTF_Num 5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4" w:customStyle="1">
    <w:name w:val="RTF_Num 5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5" w:customStyle="1">
    <w:name w:val="RTF_Num 5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6" w:customStyle="1">
    <w:name w:val="RTF_Num 5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7" w:customStyle="1">
    <w:name w:val="RTF_Num 5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8" w:customStyle="1">
    <w:name w:val="RTF_Num 5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9" w:customStyle="1">
    <w:name w:val="RTF_Num 5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1" w:customStyle="1">
    <w:name w:val="RTF_Num 6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2" w:customStyle="1">
    <w:name w:val="RTF_Num 6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3" w:customStyle="1">
    <w:name w:val="RTF_Num 6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4" w:customStyle="1">
    <w:name w:val="RTF_Num 6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5" w:customStyle="1">
    <w:name w:val="RTF_Num 6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6" w:customStyle="1">
    <w:name w:val="RTF_Num 6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7" w:customStyle="1">
    <w:name w:val="RTF_Num 6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8" w:customStyle="1">
    <w:name w:val="RTF_Num 6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9" w:customStyle="1">
    <w:name w:val="RTF_Num 6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1" w:customStyle="1">
    <w:name w:val="RTF_Num 7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2" w:customStyle="1">
    <w:name w:val="RTF_Num 7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3" w:customStyle="1">
    <w:name w:val="RTF_Num 7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4" w:customStyle="1">
    <w:name w:val="RTF_Num 7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5" w:customStyle="1">
    <w:name w:val="RTF_Num 7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6" w:customStyle="1">
    <w:name w:val="RTF_Num 7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7" w:customStyle="1">
    <w:name w:val="RTF_Num 7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8" w:customStyle="1">
    <w:name w:val="RTF_Num 7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9" w:customStyle="1">
    <w:name w:val="RTF_Num 7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1" w:customStyle="1">
    <w:name w:val="RTF_Num 8 1"/>
    <w:uiPriority w:val="99"/>
    <w:qFormat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styleId="RTFNum82" w:customStyle="1">
    <w:name w:val="RTF_Num 8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3" w:customStyle="1">
    <w:name w:val="RTF_Num 8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4" w:customStyle="1">
    <w:name w:val="RTF_Num 8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5" w:customStyle="1">
    <w:name w:val="RTF_Num 8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6" w:customStyle="1">
    <w:name w:val="RTF_Num 8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7" w:customStyle="1">
    <w:name w:val="RTF_Num 8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8" w:customStyle="1">
    <w:name w:val="RTF_Num 8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9" w:customStyle="1">
    <w:name w:val="RTF_Num 8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1" w:customStyle="1">
    <w:name w:val="RTF_Num 9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2" w:customStyle="1">
    <w:name w:val="RTF_Num 9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3" w:customStyle="1">
    <w:name w:val="RTF_Num 9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4" w:customStyle="1">
    <w:name w:val="RTF_Num 9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5" w:customStyle="1">
    <w:name w:val="RTF_Num 9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6" w:customStyle="1">
    <w:name w:val="RTF_Num 9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7" w:customStyle="1">
    <w:name w:val="RTF_Num 9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8" w:customStyle="1">
    <w:name w:val="RTF_Num 9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9" w:customStyle="1">
    <w:name w:val="RTF_Num 9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NumberingSymbols" w:customStyle="1">
    <w:name w:val="Numbering Symbols"/>
    <w:uiPriority w:val="99"/>
    <w:qFormat/>
    <w:rsid w:val="00490d2f"/>
    <w:rPr/>
  </w:style>
  <w:style w:type="character" w:styleId="BodyTextChar" w:customStyle="1">
    <w:name w:val="Body Text Char"/>
    <w:link w:val="BodyText"/>
    <w:uiPriority w:val="99"/>
    <w:semiHidden/>
    <w:qFormat/>
    <w:locked/>
    <w:rsid w:val="0079072e"/>
    <w:rPr>
      <w:rFonts w:ascii="Arial" w:hAnsi="Arial" w:cs="Arial"/>
      <w:sz w:val="20"/>
      <w:szCs w:val="20"/>
      <w:lang w:eastAsia="mk-MK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79072e"/>
    <w:rPr>
      <w:rFonts w:ascii="Arial" w:hAnsi="Arial" w:cs="Arial"/>
      <w:sz w:val="20"/>
      <w:szCs w:val="20"/>
      <w:lang w:eastAsia="mk-MK"/>
    </w:rPr>
  </w:style>
  <w:style w:type="paragraph" w:styleId="Heading" w:customStyle="1">
    <w:name w:val="Heading"/>
    <w:basedOn w:val="Normal"/>
    <w:next w:val="TextBody"/>
    <w:uiPriority w:val="99"/>
    <w:qFormat/>
    <w:rsid w:val="00490d2f"/>
    <w:pPr>
      <w:keepNext w:val="true"/>
      <w:spacing w:before="240" w:after="120"/>
    </w:pPr>
    <w:rPr>
      <w:rFonts w:eastAsia="MS Mincho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rsid w:val="00490d2f"/>
    <w:pPr>
      <w:spacing w:before="0" w:after="120"/>
    </w:pPr>
    <w:rPr/>
  </w:style>
  <w:style w:type="paragraph" w:styleId="List">
    <w:name w:val="List"/>
    <w:basedOn w:val="TextBody"/>
    <w:uiPriority w:val="99"/>
    <w:semiHidden/>
    <w:rsid w:val="00490d2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490d2f"/>
    <w:pPr/>
    <w:rPr/>
  </w:style>
  <w:style w:type="paragraph" w:styleId="Caption1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styleId="Caption11" w:customStyle="1">
    <w:name w:val="Caption1"/>
    <w:basedOn w:val="Normal"/>
    <w:uiPriority w:val="99"/>
    <w:qFormat/>
    <w:rsid w:val="00490d2f"/>
    <w:pPr>
      <w:spacing w:before="120" w:after="120"/>
    </w:pPr>
    <w:rPr>
      <w:i/>
      <w:iCs/>
      <w:sz w:val="24"/>
      <w:szCs w:val="24"/>
    </w:rPr>
  </w:style>
  <w:style w:type="paragraph" w:styleId="Heading11" w:customStyle="1">
    <w:name w:val="Heading 11"/>
    <w:basedOn w:val="Normal"/>
    <w:next w:val="Normal"/>
    <w:uiPriority w:val="99"/>
    <w:qFormat/>
    <w:rsid w:val="00490d2f"/>
    <w:pPr>
      <w:keepNext w:val="true"/>
      <w:spacing w:lineRule="exact" w:line="427" w:before="58" w:after="0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490d2f"/>
    <w:pPr>
      <w:spacing w:lineRule="exact" w:line="216" w:before="5" w:after="0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490d2f"/>
    <w:pPr>
      <w:ind w:left="43" w:hanging="0"/>
    </w:pPr>
    <w:rPr>
      <w:rFonts w:ascii="MAC C Swiss" w:hAnsi="MAC C Swiss" w:cs="MAC C Swiss"/>
      <w:color w:val="000000"/>
      <w:sz w:val="19"/>
      <w:szCs w:val="19"/>
    </w:rPr>
  </w:style>
  <w:style w:type="paragraph" w:styleId="TableContents" w:customStyle="1">
    <w:name w:val="Table Contents"/>
    <w:basedOn w:val="Normal"/>
    <w:uiPriority w:val="99"/>
    <w:qFormat/>
    <w:rsid w:val="00490d2f"/>
    <w:pPr/>
    <w:rPr/>
  </w:style>
  <w:style w:type="paragraph" w:styleId="TableHeading" w:customStyle="1">
    <w:name w:val="Table Heading"/>
    <w:basedOn w:val="TableContents"/>
    <w:uiPriority w:val="99"/>
    <w:qFormat/>
    <w:rsid w:val="00490d2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Application>LibreOffice/6.4.0.3$Windows_X86_64 LibreOffice_project/b0a288ab3d2d4774cb44b62f04d5d28733ac6df8</Application>
  <Pages>5</Pages>
  <Words>1198</Words>
  <Characters>5484</Characters>
  <CharactersWithSpaces>7617</CharactersWithSpaces>
  <Paragraphs>628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2020-02-19T12:39:00Z</dcterms:created>
  <dc:creator>zoricaan</dc:creator>
  <dc:description/>
  <dc:language>mk-MK</dc:language>
  <cp:lastModifiedBy/>
  <cp:lastPrinted>2022-03-01T10:32:14Z</cp:lastPrinted>
  <dcterms:modified xsi:type="dcterms:W3CDTF">2022-03-01T10:33:33Z</dcterms:modified>
  <cp:revision>11</cp:revision>
  <dc:subject/>
  <dc:title>Период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