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662BA6" w:rsidRPr="00091D6D">
        <w:trPr>
          <w:trHeight w:val="280"/>
          <w:jc w:val="center"/>
        </w:trPr>
        <w:tc>
          <w:tcPr>
            <w:tcW w:w="333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662BA6" w:rsidRPr="00091D6D" w:rsidRDefault="00662BA6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662BA6" w:rsidRPr="00091D6D" w:rsidRDefault="00662BA6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blPrEx>
          <w:tblInd w:w="0" w:type="nil"/>
        </w:tblPrEx>
        <w:trPr>
          <w:trHeight w:val="280"/>
          <w:jc w:val="center"/>
        </w:trPr>
        <w:tc>
          <w:tcPr>
            <w:tcW w:w="243" w:type="dxa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62BA6" w:rsidRPr="00737E94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blPrEx>
          <w:tblInd w:w="0" w:type="nil"/>
        </w:tblPrEx>
        <w:trPr>
          <w:trHeight w:val="527"/>
          <w:jc w:val="center"/>
        </w:trPr>
        <w:tc>
          <w:tcPr>
            <w:tcW w:w="243" w:type="dxa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blPrEx>
          <w:tblInd w:w="0" w:type="nil"/>
        </w:tblPrEx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662BA6" w:rsidRPr="00091D6D" w:rsidRDefault="00662BA6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662BA6" w:rsidRPr="00091D6D" w:rsidRDefault="00662BA6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662BA6" w:rsidRPr="00091D6D" w:rsidRDefault="00662BA6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662BA6" w:rsidRPr="00091D6D" w:rsidRDefault="00662BA6">
      <w:pPr>
        <w:rPr>
          <w:rFonts w:ascii="Arial Narrow" w:hAnsi="Arial Narrow" w:cs="Arial Narrow"/>
          <w:sz w:val="22"/>
          <w:szCs w:val="22"/>
          <w:lang w:val="mk-MK"/>
        </w:rPr>
      </w:pPr>
    </w:p>
    <w:p w:rsidR="00662BA6" w:rsidRDefault="00662BA6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Јну  Институт  за Духовно културно Наследство на Албанците    </w:t>
      </w:r>
    </w:p>
    <w:p w:rsidR="00662BA6" w:rsidRPr="00091D6D" w:rsidRDefault="00662BA6">
      <w:pPr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Ул Покриена Чаршија Куршумли –ан 070-290-468</w:t>
      </w:r>
    </w:p>
    <w:p w:rsidR="00662BA6" w:rsidRPr="00091D6D" w:rsidRDefault="00662BA6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 w:cs="Arial Narrow"/>
          <w:sz w:val="22"/>
          <w:szCs w:val="22"/>
          <w:lang w:val="mk-MK"/>
        </w:rPr>
        <w:t>_</w:t>
      </w:r>
      <w:r>
        <w:rPr>
          <w:rFonts w:ascii="Arial Narrow" w:hAnsi="Arial Narrow" w:cs="Arial Narrow"/>
          <w:sz w:val="22"/>
          <w:szCs w:val="22"/>
          <w:lang w:val="mk-MK"/>
        </w:rPr>
        <w:t>4030007640340</w:t>
      </w:r>
    </w:p>
    <w:p w:rsidR="00662BA6" w:rsidRPr="00091D6D" w:rsidRDefault="00662BA6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662BA6" w:rsidRPr="00091D6D" w:rsidRDefault="00662BA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662BA6" w:rsidRPr="00091D6D" w:rsidRDefault="00662BA6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662BA6" w:rsidRPr="00091D6D" w:rsidRDefault="00662BA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</w:t>
      </w:r>
      <w:r w:rsidRPr="00737E94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31,12,201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6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662BA6" w:rsidRPr="00091D6D" w:rsidRDefault="00662BA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662BA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662BA6" w:rsidRPr="00091D6D" w:rsidRDefault="00662BA6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662BA6" w:rsidRP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62BA6" w:rsidRPr="00091D6D" w:rsidRDefault="00662BA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62BA6" w:rsidRP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62BA6" w:rsidRPr="00091D6D" w:rsidRDefault="00662BA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62BA6" w:rsidRPr="00091D6D" w:rsidRDefault="00662BA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662BA6" w:rsidRP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62BA6" w:rsidRPr="00091D6D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662BA6" w:rsidRPr="00091D6D" w:rsidRDefault="00662BA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ТЕКОВНИ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662BA6" w:rsidRPr="00091D6D" w:rsidRDefault="00662BA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</w:t>
            </w:r>
          </w:p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468.813 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737E94" w:rsidRDefault="00662BA6" w:rsidP="00737E94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 w:rsidP="00737E9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737E94" w:rsidRDefault="00662BA6" w:rsidP="00737E9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486.171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62BA6" w:rsidRPr="00091D6D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662BA6" w:rsidRPr="00091D6D" w:rsidRDefault="00662BA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662BA6" w:rsidRPr="00091D6D" w:rsidRDefault="00662BA6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662BA6" w:rsidRPr="00091D6D" w:rsidRDefault="00662BA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662BA6" w:rsidRPr="00091D6D" w:rsidRDefault="00662BA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</w:t>
            </w:r>
          </w:p>
          <w:p w:rsidR="00662BA6" w:rsidRPr="00E4494B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>468.813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 w:rsidP="00737E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737E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486.171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   </w:t>
            </w:r>
          </w:p>
        </w:tc>
      </w:tr>
      <w:tr w:rsidR="00662BA6" w:rsidRPr="00091D6D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      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BE03A3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</w:t>
            </w:r>
          </w:p>
        </w:tc>
      </w:tr>
      <w:tr w:rsidR="00662BA6" w:rsidRPr="00091D6D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BE03A3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4.735</w:t>
            </w:r>
          </w:p>
        </w:tc>
      </w:tr>
    </w:tbl>
    <w:p w:rsidR="00662BA6" w:rsidRPr="00091D6D" w:rsidRDefault="00662BA6">
      <w:pPr>
        <w:rPr>
          <w:rFonts w:ascii="Arial Narrow" w:hAnsi="Arial Narrow" w:cs="Arial Narrow"/>
          <w:sz w:val="22"/>
          <w:szCs w:val="22"/>
          <w:lang w:val="mk-MK"/>
        </w:rPr>
        <w:sectPr w:rsidR="00662BA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662BA6" w:rsidRPr="00091D6D" w:rsidRDefault="00662BA6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662BA6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62BA6" w:rsidRPr="00091D6D" w:rsidRDefault="00662BA6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62BA6" w:rsidRPr="00091D6D" w:rsidRDefault="00662BA6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62BA6" w:rsidRPr="00091D6D" w:rsidRDefault="00662BA6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62BA6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62BA6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62BA6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E4494B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5.330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DB57A6" w:rsidRDefault="00662BA6" w:rsidP="00BE03A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62BA6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E4494B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11.185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DB57A6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62BA6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E4494B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>442.298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DB57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479.786</w:t>
            </w:r>
          </w:p>
        </w:tc>
      </w:tr>
      <w:tr w:rsidR="00662BA6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</w:rPr>
              <w:t>10.000</w:t>
            </w:r>
          </w:p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632A40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1.650</w:t>
            </w:r>
          </w:p>
        </w:tc>
      </w:tr>
      <w:tr w:rsidR="00662BA6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662BA6" w:rsidRPr="00091D6D" w:rsidRDefault="00662BA6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662BA6" w:rsidRPr="00091D6D" w:rsidRDefault="00662BA6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662BA6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62BA6" w:rsidRPr="00091D6D" w:rsidRDefault="00662BA6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A46B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662BA6" w:rsidRPr="00091D6D" w:rsidRDefault="00662BA6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662BA6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62BA6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662BA6" w:rsidRPr="00091D6D" w:rsidRDefault="00662BA6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662BA6" w:rsidRPr="00091D6D" w:rsidRDefault="00662BA6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662BA6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662BA6" w:rsidRPr="00091D6D" w:rsidRDefault="00662BA6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 w:rsidP="00737E94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</w:t>
            </w:r>
          </w:p>
          <w:p w:rsidR="00662BA6" w:rsidRPr="00737E94" w:rsidRDefault="00662BA6" w:rsidP="00737E94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468.813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662BA6" w:rsidRPr="00DB57A6" w:rsidRDefault="00662BA6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486171</w:t>
            </w:r>
          </w:p>
        </w:tc>
      </w:tr>
      <w:tr w:rsidR="00662BA6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662BA6" w:rsidRPr="00FC033A" w:rsidRDefault="00662BA6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201.656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DB57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8.605</w:t>
            </w:r>
          </w:p>
        </w:tc>
      </w:tr>
      <w:tr w:rsidR="00662BA6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62BA6" w:rsidRDefault="00662BA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62BA6" w:rsidRDefault="00662BA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662BA6" w:rsidRPr="00091D6D" w:rsidRDefault="00662BA6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</w:t>
            </w:r>
          </w:p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201.656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</w:rPr>
              <w:t>8.605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</w:t>
            </w:r>
          </w:p>
        </w:tc>
      </w:tr>
      <w:tr w:rsidR="00662BA6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201.656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662BA6" w:rsidRPr="00897968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8.605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</w:t>
            </w:r>
          </w:p>
        </w:tc>
      </w:tr>
      <w:tr w:rsidR="00662BA6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201.656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897968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8.605</w:t>
            </w:r>
          </w:p>
        </w:tc>
      </w:tr>
      <w:tr w:rsidR="00662BA6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BA6" w:rsidRPr="00091D6D" w:rsidRDefault="00662BA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62BA6" w:rsidRPr="00091D6D" w:rsidRDefault="00662BA6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BA6" w:rsidRPr="00091D6D" w:rsidRDefault="00662BA6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62BA6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62BA6" w:rsidRPr="00FC033A" w:rsidRDefault="00662BA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 w:cs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662BA6" w:rsidRPr="00FC033A" w:rsidRDefault="00662BA6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62BA6" w:rsidRPr="00091D6D" w:rsidRDefault="00662BA6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                 </w:t>
            </w:r>
          </w:p>
          <w:p w:rsidR="00662BA6" w:rsidRPr="00297C2E" w:rsidRDefault="00662BA6" w:rsidP="00315B4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670.469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 w:rsidP="00724CB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315B4A" w:rsidRDefault="00662BA6" w:rsidP="00315B4A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 w:rsidP="00315B4A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315B4A" w:rsidRDefault="00662BA6" w:rsidP="00315B4A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494.776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</w:t>
            </w: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662BA6" w:rsidRPr="00091D6D" w:rsidRDefault="00662BA6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662BA6" w:rsidRPr="00091D6D" w:rsidRDefault="00662BA6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662BA6" w:rsidRPr="00091D6D" w:rsidRDefault="00662BA6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662BA6" w:rsidRPr="00091D6D" w:rsidRDefault="00662BA6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 </w:t>
            </w:r>
          </w:p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670.469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897968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494.776</w:t>
            </w:r>
          </w:p>
        </w:tc>
      </w:tr>
    </w:tbl>
    <w:p w:rsidR="00662BA6" w:rsidRPr="00091D6D" w:rsidRDefault="00662BA6">
      <w:pPr>
        <w:rPr>
          <w:rFonts w:ascii="Arial Narrow" w:hAnsi="Arial Narrow" w:cs="Arial Narrow"/>
          <w:sz w:val="22"/>
          <w:szCs w:val="22"/>
          <w:lang w:val="mk-MK"/>
        </w:rPr>
        <w:sectPr w:rsidR="00662BA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662BA6" w:rsidRPr="00091D6D" w:rsidRDefault="00662BA6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662BA6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62BA6" w:rsidRPr="00091D6D" w:rsidRDefault="00662BA6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   с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62BA6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62BA6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E4494B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670.469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482A93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494.776</w:t>
            </w:r>
          </w:p>
        </w:tc>
      </w:tr>
      <w:tr w:rsidR="00662BA6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Default="00662BA6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62BA6" w:rsidRPr="00091D6D" w:rsidRDefault="00662BA6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62BA6" w:rsidRPr="00091D6D" w:rsidRDefault="00662BA6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62BA6" w:rsidRPr="00091D6D" w:rsidRDefault="00662BA6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297C2E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</w:rPr>
              <w:t>670.469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494.776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</w:t>
            </w:r>
          </w:p>
        </w:tc>
      </w:tr>
      <w:tr w:rsidR="00662BA6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62BA6" w:rsidRPr="00091D6D" w:rsidRDefault="00662BA6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662BA6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662BA6" w:rsidRPr="00091D6D" w:rsidRDefault="00662BA6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E4494B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     </w:t>
            </w:r>
            <w:r>
              <w:rPr>
                <w:rFonts w:ascii="Arial Narrow" w:hAnsi="Arial Narrow" w:cs="Arial Narrow"/>
                <w:sz w:val="22"/>
                <w:szCs w:val="22"/>
              </w:rPr>
              <w:t>670.469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662BA6" w:rsidRPr="00897968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494.776</w:t>
            </w:r>
          </w:p>
        </w:tc>
      </w:tr>
      <w:tr w:rsidR="00662BA6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662BA6" w:rsidRPr="00091D6D" w:rsidRDefault="00662BA6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62BA6" w:rsidRPr="00091D6D" w:rsidRDefault="00662BA6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2BA6" w:rsidRPr="00091D6D" w:rsidRDefault="00662BA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662BA6" w:rsidRPr="00091D6D" w:rsidRDefault="00662BA6">
      <w:pPr>
        <w:rPr>
          <w:rFonts w:ascii="Arial Narrow" w:hAnsi="Arial Narrow" w:cs="Arial Narrow"/>
          <w:sz w:val="22"/>
          <w:szCs w:val="22"/>
          <w:lang w:val="mk-MK"/>
        </w:rPr>
        <w:sectPr w:rsidR="00662BA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662BA6" w:rsidRPr="00091D6D" w:rsidRDefault="00662BA6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Pr="00091D6D" w:rsidRDefault="00662BA6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Во_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Скопје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_</w:t>
      </w:r>
    </w:p>
    <w:p w:rsidR="00662BA6" w:rsidRPr="00091D6D" w:rsidRDefault="00662BA6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ден_______</w:t>
      </w:r>
    </w:p>
    <w:p w:rsidR="00662BA6" w:rsidRPr="00091D6D" w:rsidRDefault="00662BA6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Pr="00091D6D" w:rsidRDefault="00662BA6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662BA6" w:rsidRPr="00091D6D" w:rsidRDefault="00662BA6" w:rsidP="0008307F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662BA6" w:rsidRPr="00091D6D" w:rsidRDefault="00662BA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Pr="00091D6D" w:rsidRDefault="00662BA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Pr="00091D6D" w:rsidRDefault="00662BA6">
      <w:pPr>
        <w:pStyle w:val="BlockText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>______________</w:t>
      </w:r>
    </w:p>
    <w:p w:rsidR="00662BA6" w:rsidRDefault="00662BA6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</w:t>
      </w:r>
    </w:p>
    <w:p w:rsidR="00662BA6" w:rsidRPr="00091D6D" w:rsidRDefault="00662BA6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662BA6" w:rsidRPr="00091D6D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662BA6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662BA6" w:rsidRPr="00091D6D" w:rsidRDefault="00662BA6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662BA6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____________</w:t>
      </w:r>
    </w:p>
    <w:p w:rsidR="00662BA6" w:rsidRPr="00091D6D" w:rsidRDefault="00662BA6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662BA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 w:cs="Arial Narrow"/>
          <w:sz w:val="22"/>
          <w:szCs w:val="22"/>
          <w:lang w:val="mk-MK"/>
        </w:rPr>
        <w:t xml:space="preserve">                                                 </w:t>
      </w:r>
    </w:p>
    <w:p w:rsidR="00662BA6" w:rsidRPr="00F73A6E" w:rsidRDefault="00662BA6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662BA6" w:rsidRPr="00F73A6E" w:rsidSect="00490D2F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8307F"/>
    <w:rsid w:val="00091AA0"/>
    <w:rsid w:val="00091D6D"/>
    <w:rsid w:val="00095BB8"/>
    <w:rsid w:val="000C44AA"/>
    <w:rsid w:val="00193241"/>
    <w:rsid w:val="001947CF"/>
    <w:rsid w:val="00297C2E"/>
    <w:rsid w:val="002D09CB"/>
    <w:rsid w:val="002F6D8F"/>
    <w:rsid w:val="00315B4A"/>
    <w:rsid w:val="00322A95"/>
    <w:rsid w:val="00325F22"/>
    <w:rsid w:val="004234E0"/>
    <w:rsid w:val="00482A93"/>
    <w:rsid w:val="00490D2F"/>
    <w:rsid w:val="004A2B65"/>
    <w:rsid w:val="005E2A52"/>
    <w:rsid w:val="006113B1"/>
    <w:rsid w:val="00632A40"/>
    <w:rsid w:val="00643B85"/>
    <w:rsid w:val="00662BA6"/>
    <w:rsid w:val="006C5A67"/>
    <w:rsid w:val="006F183E"/>
    <w:rsid w:val="00724CB0"/>
    <w:rsid w:val="0073081D"/>
    <w:rsid w:val="00737E94"/>
    <w:rsid w:val="00765E73"/>
    <w:rsid w:val="0077647F"/>
    <w:rsid w:val="007823A1"/>
    <w:rsid w:val="00795F57"/>
    <w:rsid w:val="00821148"/>
    <w:rsid w:val="008705B0"/>
    <w:rsid w:val="00897968"/>
    <w:rsid w:val="008B1917"/>
    <w:rsid w:val="008C71AC"/>
    <w:rsid w:val="009B2B29"/>
    <w:rsid w:val="009E5C4C"/>
    <w:rsid w:val="00A46B82"/>
    <w:rsid w:val="00B50F22"/>
    <w:rsid w:val="00B803FF"/>
    <w:rsid w:val="00BE03A3"/>
    <w:rsid w:val="00CD2FE9"/>
    <w:rsid w:val="00D5688F"/>
    <w:rsid w:val="00D61E98"/>
    <w:rsid w:val="00D6699F"/>
    <w:rsid w:val="00DB57A6"/>
    <w:rsid w:val="00DE27AA"/>
    <w:rsid w:val="00DF6054"/>
    <w:rsid w:val="00E4494B"/>
    <w:rsid w:val="00E66266"/>
    <w:rsid w:val="00E9374C"/>
    <w:rsid w:val="00ED77F6"/>
    <w:rsid w:val="00F17D44"/>
    <w:rsid w:val="00F37C90"/>
    <w:rsid w:val="00F73A6E"/>
    <w:rsid w:val="00FB0BF7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2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90D2F"/>
  </w:style>
  <w:style w:type="character" w:customStyle="1" w:styleId="WW-Absatz-Standardschriftart">
    <w:name w:val="WW-Absatz-Standardschriftart"/>
    <w:uiPriority w:val="99"/>
    <w:rsid w:val="00490D2F"/>
  </w:style>
  <w:style w:type="character" w:customStyle="1" w:styleId="WW-Absatz-Standardschriftart1">
    <w:name w:val="WW-Absatz-Standardschriftart1"/>
    <w:uiPriority w:val="99"/>
    <w:rsid w:val="00490D2F"/>
  </w:style>
  <w:style w:type="character" w:customStyle="1" w:styleId="WW8Num1z0">
    <w:name w:val="WW8Num1z0"/>
    <w:uiPriority w:val="99"/>
    <w:rsid w:val="00490D2F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490D2F"/>
  </w:style>
  <w:style w:type="character" w:customStyle="1" w:styleId="RTFNum21">
    <w:name w:val="RTF_Num 2 1"/>
    <w:uiPriority w:val="99"/>
    <w:rsid w:val="00490D2F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490D2F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490D2F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490D2F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490D2F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490D2F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490D2F"/>
  </w:style>
  <w:style w:type="paragraph" w:customStyle="1" w:styleId="Heading">
    <w:name w:val="Heading"/>
    <w:basedOn w:val="Normal"/>
    <w:next w:val="BodyText"/>
    <w:uiPriority w:val="99"/>
    <w:rsid w:val="00490D2F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90D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B85"/>
    <w:rPr>
      <w:rFonts w:ascii="Arial" w:hAnsi="Arial" w:cs="Arial"/>
      <w:sz w:val="20"/>
      <w:szCs w:val="20"/>
      <w:lang w:eastAsia="mk-MK"/>
    </w:rPr>
  </w:style>
  <w:style w:type="paragraph" w:styleId="List">
    <w:name w:val="List"/>
    <w:basedOn w:val="BodyText"/>
    <w:uiPriority w:val="99"/>
    <w:semiHidden/>
    <w:rsid w:val="00490D2F"/>
  </w:style>
  <w:style w:type="paragraph" w:styleId="Caption">
    <w:name w:val="caption"/>
    <w:basedOn w:val="Normal"/>
    <w:uiPriority w:val="99"/>
    <w:qFormat/>
    <w:rsid w:val="00490D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90D2F"/>
  </w:style>
  <w:style w:type="paragraph" w:customStyle="1" w:styleId="Caption1">
    <w:name w:val="Caption1"/>
    <w:basedOn w:val="Normal"/>
    <w:uiPriority w:val="99"/>
    <w:rsid w:val="00490D2F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490D2F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490D2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490D2F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3B85"/>
    <w:rPr>
      <w:rFonts w:ascii="Arial" w:hAnsi="Arial" w:cs="Arial"/>
      <w:sz w:val="20"/>
      <w:szCs w:val="20"/>
      <w:lang w:eastAsia="mk-MK"/>
    </w:rPr>
  </w:style>
  <w:style w:type="paragraph" w:customStyle="1" w:styleId="TableContents">
    <w:name w:val="Table Contents"/>
    <w:basedOn w:val="Normal"/>
    <w:uiPriority w:val="99"/>
    <w:rsid w:val="00490D2F"/>
  </w:style>
  <w:style w:type="paragraph" w:customStyle="1" w:styleId="TableHeading">
    <w:name w:val="Table Heading"/>
    <w:basedOn w:val="TableContents"/>
    <w:uiPriority w:val="99"/>
    <w:rsid w:val="00490D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1290</Words>
  <Characters>7354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WORK</cp:lastModifiedBy>
  <cp:revision>2</cp:revision>
  <cp:lastPrinted>2016-02-22T12:00:00Z</cp:lastPrinted>
  <dcterms:created xsi:type="dcterms:W3CDTF">2017-02-20T12:46:00Z</dcterms:created>
  <dcterms:modified xsi:type="dcterms:W3CDTF">2017-02-20T12:46:00Z</dcterms:modified>
</cp:coreProperties>
</file>